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0337ADA2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7B16C9">
        <w:rPr>
          <w:bCs/>
          <w:noProof w:val="0"/>
          <w:sz w:val="24"/>
          <w:szCs w:val="24"/>
        </w:rPr>
        <w:t>1</w:t>
      </w:r>
      <w:r w:rsidR="00720C9F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800948">
        <w:rPr>
          <w:bCs/>
          <w:noProof w:val="0"/>
          <w:sz w:val="24"/>
          <w:szCs w:val="24"/>
        </w:rPr>
        <w:t>2007487</w:t>
      </w:r>
    </w:p>
    <w:p w14:paraId="11776FA6" w14:textId="2A3FDE05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</w:t>
      </w:r>
      <w:r w:rsidR="007B16C9">
        <w:rPr>
          <w:rFonts w:eastAsia="SimSun"/>
          <w:bCs/>
          <w:sz w:val="24"/>
          <w:szCs w:val="24"/>
          <w:lang w:eastAsia="zh-CN"/>
        </w:rPr>
        <w:t>-meeting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36459E">
        <w:rPr>
          <w:rFonts w:eastAsia="SimSun"/>
          <w:bCs/>
          <w:sz w:val="24"/>
          <w:szCs w:val="24"/>
          <w:lang w:eastAsia="zh-CN"/>
        </w:rPr>
        <w:t>1</w:t>
      </w:r>
      <w:r w:rsidR="007B16C9">
        <w:rPr>
          <w:rFonts w:eastAsia="SimSun"/>
          <w:bCs/>
          <w:sz w:val="24"/>
          <w:szCs w:val="24"/>
          <w:lang w:eastAsia="zh-CN"/>
        </w:rPr>
        <w:t>7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 w:rsidR="008054E1">
        <w:rPr>
          <w:rFonts w:eastAsia="SimSun"/>
          <w:bCs/>
          <w:sz w:val="24"/>
          <w:szCs w:val="24"/>
          <w:lang w:eastAsia="zh-CN"/>
        </w:rPr>
        <w:t>2</w:t>
      </w:r>
      <w:r w:rsidR="007B16C9">
        <w:rPr>
          <w:rFonts w:eastAsia="SimSun"/>
          <w:bCs/>
          <w:sz w:val="24"/>
          <w:szCs w:val="24"/>
          <w:lang w:eastAsia="zh-CN"/>
        </w:rPr>
        <w:t>8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7B16C9">
        <w:rPr>
          <w:rFonts w:eastAsia="SimSun"/>
          <w:bCs/>
          <w:sz w:val="24"/>
          <w:szCs w:val="24"/>
          <w:lang w:eastAsia="zh-CN"/>
        </w:rPr>
        <w:t>August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A0CDD4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61B85">
        <w:rPr>
          <w:rFonts w:cs="Arial"/>
          <w:b/>
          <w:bCs/>
          <w:sz w:val="24"/>
        </w:rPr>
        <w:t>8.4.1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3E6B1D9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C28E3">
        <w:rPr>
          <w:rFonts w:ascii="Arial" w:hAnsi="Arial" w:cs="Arial"/>
          <w:b/>
          <w:bCs/>
          <w:sz w:val="24"/>
        </w:rPr>
        <w:t>On the CP/UP separation</w:t>
      </w:r>
    </w:p>
    <w:p w14:paraId="1F147C23" w14:textId="1927E318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B16C9" w:rsidRPr="007B16C9">
        <w:rPr>
          <w:rFonts w:ascii="Arial" w:hAnsi="Arial" w:cs="Arial"/>
          <w:b/>
          <w:bCs/>
          <w:sz w:val="24"/>
        </w:rPr>
        <w:t xml:space="preserve">Enh_IAB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7B16C9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20DF014" w14:textId="76E8D20E" w:rsidR="00A209D6" w:rsidRDefault="003626A9" w:rsidP="00A209D6">
      <w:r>
        <w:t>The Rel.17 WID for IAB enhancements has following objectives:</w:t>
      </w:r>
    </w:p>
    <w:p w14:paraId="423A1E96" w14:textId="77777777" w:rsidR="003626A9" w:rsidRPr="003626A9" w:rsidRDefault="003626A9" w:rsidP="003626A9">
      <w:pPr>
        <w:spacing w:after="120"/>
        <w:ind w:left="284"/>
        <w:rPr>
          <w:bCs/>
          <w:i/>
          <w:iCs/>
          <w:lang w:eastAsia="en-GB"/>
        </w:rPr>
      </w:pPr>
      <w:r w:rsidRPr="003626A9">
        <w:rPr>
          <w:bCs/>
          <w:i/>
          <w:iCs/>
        </w:rPr>
        <w:t>Topology adaptation enhancements [RAN3-led, RAN2]:</w:t>
      </w:r>
    </w:p>
    <w:p w14:paraId="4AB44558" w14:textId="77777777" w:rsidR="003626A9" w:rsidRPr="003626A9" w:rsidRDefault="003626A9" w:rsidP="003626A9">
      <w:pPr>
        <w:numPr>
          <w:ilvl w:val="0"/>
          <w:numId w:val="8"/>
        </w:numPr>
        <w:autoSpaceDN w:val="0"/>
        <w:spacing w:after="60"/>
        <w:ind w:left="1004"/>
        <w:rPr>
          <w:i/>
          <w:iCs/>
        </w:rPr>
      </w:pPr>
      <w:r w:rsidRPr="003626A9">
        <w:rPr>
          <w:i/>
          <w:iCs/>
        </w:rPr>
        <w:t xml:space="preserve">Specification of procedures for inter-donor IAB-node migration to enhance robustness and load-balancing, including enhancements to reduce signalling load.   </w:t>
      </w:r>
    </w:p>
    <w:p w14:paraId="00D52D8B" w14:textId="77777777" w:rsidR="003626A9" w:rsidRPr="003626A9" w:rsidRDefault="003626A9" w:rsidP="003626A9">
      <w:pPr>
        <w:numPr>
          <w:ilvl w:val="0"/>
          <w:numId w:val="8"/>
        </w:numPr>
        <w:autoSpaceDN w:val="0"/>
        <w:spacing w:after="60"/>
        <w:ind w:left="1004"/>
        <w:rPr>
          <w:i/>
          <w:iCs/>
        </w:rPr>
      </w:pPr>
      <w:r w:rsidRPr="003626A9">
        <w:rPr>
          <w:i/>
          <w:iCs/>
        </w:rPr>
        <w:t>Specification of enhancements to reduce service interruption due to IAB-node migration and BH RLF recovery.</w:t>
      </w:r>
    </w:p>
    <w:p w14:paraId="0D40E88B" w14:textId="77777777" w:rsidR="003626A9" w:rsidRPr="003626A9" w:rsidRDefault="003626A9" w:rsidP="003626A9">
      <w:pPr>
        <w:numPr>
          <w:ilvl w:val="0"/>
          <w:numId w:val="8"/>
        </w:numPr>
        <w:autoSpaceDN w:val="0"/>
        <w:spacing w:after="240"/>
        <w:ind w:left="1003" w:hanging="357"/>
        <w:rPr>
          <w:i/>
          <w:iCs/>
        </w:rPr>
      </w:pPr>
      <w:r w:rsidRPr="003626A9">
        <w:rPr>
          <w:i/>
          <w:iCs/>
        </w:rPr>
        <w:t>Specification of enhancements to topological redundancy, including support of CP/UP separation.</w:t>
      </w:r>
    </w:p>
    <w:p w14:paraId="31EC6E66" w14:textId="4CF67BE6" w:rsidR="007F2E08" w:rsidRDefault="00DC28E3" w:rsidP="00A209D6">
      <w:r>
        <w:t>In IAB NSA deployment</w:t>
      </w:r>
      <w:r w:rsidR="00D47548">
        <w:t xml:space="preserve"> </w:t>
      </w:r>
      <w:bookmarkStart w:id="0" w:name="_GoBack"/>
      <w:bookmarkEnd w:id="0"/>
      <w:r>
        <w:t xml:space="preserve">MN will be </w:t>
      </w:r>
      <w:r w:rsidR="00D47548">
        <w:t xml:space="preserve">an </w:t>
      </w:r>
      <w:r>
        <w:t xml:space="preserve">LTE node having the control over the MR-DC connection. A typical deployment case would be the LTE </w:t>
      </w:r>
      <w:r w:rsidR="00D47548">
        <w:t xml:space="preserve">connection </w:t>
      </w:r>
      <w:r>
        <w:t xml:space="preserve">on lower bands (FR1) being the coverage layer whereas NR (SCG) would be on higher bands (FR2) providing </w:t>
      </w:r>
      <w:proofErr w:type="gramStart"/>
      <w:r>
        <w:t>sufficient</w:t>
      </w:r>
      <w:proofErr w:type="gramEnd"/>
      <w:r>
        <w:t xml:space="preserve"> capacity for the BH (and access) links.</w:t>
      </w:r>
    </w:p>
    <w:p w14:paraId="5253CA85" w14:textId="6A1F5FD0" w:rsidR="00DC28E3" w:rsidRDefault="00D47548" w:rsidP="00A209D6">
      <w:r>
        <w:t>T</w:t>
      </w:r>
      <w:r w:rsidR="00DC28E3">
        <w:t xml:space="preserve">he same principle </w:t>
      </w:r>
      <w:r>
        <w:t>can</w:t>
      </w:r>
      <w:r w:rsidR="00DC28E3">
        <w:t xml:space="preserve"> be used also in </w:t>
      </w:r>
      <w:r>
        <w:t xml:space="preserve">NR stand-alone </w:t>
      </w:r>
      <w:r w:rsidR="00DC28E3">
        <w:t>scenario. The MCG leg would be in FR1 for (more) reliable control connection with large enough coverage to avoid need for multi-hop connection. The SCG leg would carry the BH data on higher band</w:t>
      </w:r>
      <w:r>
        <w:t>s</w:t>
      </w:r>
      <w:r w:rsidR="00DC28E3">
        <w:t xml:space="preserve"> (FR2) and </w:t>
      </w:r>
      <w:r>
        <w:t xml:space="preserve">may have </w:t>
      </w:r>
      <w:r w:rsidR="00DC28E3">
        <w:t>multi-hop connections to reach the same range as the MCG.</w:t>
      </w:r>
      <w:r w:rsidR="00FE7E2F">
        <w:t xml:space="preserve"> In this paper we discuss the scenarios for such deployment and what RAN2 could investigate.</w:t>
      </w:r>
    </w:p>
    <w:p w14:paraId="766D6D29" w14:textId="193FC2FC" w:rsidR="00A209D6" w:rsidRDefault="00AF56FA" w:rsidP="00A209D6">
      <w:pPr>
        <w:pStyle w:val="Heading1"/>
      </w:pPr>
      <w:r>
        <w:t>2</w:t>
      </w:r>
      <w:r w:rsidR="00A209D6" w:rsidRPr="006E13D1">
        <w:tab/>
      </w:r>
      <w:r w:rsidR="009516FB">
        <w:t xml:space="preserve">IAB </w:t>
      </w:r>
      <w:r w:rsidR="00FE7E2F">
        <w:t>NR inter-band DC</w:t>
      </w:r>
    </w:p>
    <w:p w14:paraId="3E27F020" w14:textId="715E30F0" w:rsidR="009516FB" w:rsidRPr="009516FB" w:rsidRDefault="009516FB" w:rsidP="009516FB">
      <w:pPr>
        <w:pStyle w:val="Heading2"/>
      </w:pPr>
      <w:r>
        <w:t>2</w:t>
      </w:r>
      <w:r w:rsidRPr="006E13D1">
        <w:t>.</w:t>
      </w:r>
      <w:r>
        <w:t>1</w:t>
      </w:r>
      <w:r w:rsidRPr="006E13D1">
        <w:tab/>
      </w:r>
      <w:r>
        <w:t>Scenarios</w:t>
      </w:r>
    </w:p>
    <w:p w14:paraId="0AAA15F0" w14:textId="148C1193" w:rsidR="00FE7E2F" w:rsidRDefault="00FE7E2F" w:rsidP="00FE7E2F">
      <w:r>
        <w:t>Figure 1 shows example</w:t>
      </w:r>
      <w:r w:rsidR="00F77AF5">
        <w:t>s</w:t>
      </w:r>
      <w:r>
        <w:t xml:space="preserve"> of the scenario</w:t>
      </w:r>
      <w:r w:rsidR="003D70D6">
        <w:t>s</w:t>
      </w:r>
      <w:r>
        <w:t xml:space="preserve"> where the CP is separate</w:t>
      </w:r>
      <w:r w:rsidR="00D47548">
        <w:t>d</w:t>
      </w:r>
      <w:r>
        <w:t xml:space="preserve"> from the BH UP connection. The band used for the MN, carrying CP, is on FR1 whereas the BH data is on FR2.</w:t>
      </w:r>
      <w:r w:rsidR="00D47548">
        <w:t xml:space="preserve"> The UE shown in the figure is configured with inter-band DC</w:t>
      </w:r>
      <w:r w:rsidR="00B40E25">
        <w:t>, with MCG provided directly by</w:t>
      </w:r>
      <w:r w:rsidR="00D47548">
        <w:t xml:space="preserve"> the MN and </w:t>
      </w:r>
      <w:r w:rsidR="00B40E25">
        <w:t xml:space="preserve">the SCG by </w:t>
      </w:r>
      <w:r w:rsidR="00D47548">
        <w:t>one of the IAB-nodes.</w:t>
      </w:r>
    </w:p>
    <w:p w14:paraId="3705BBE2" w14:textId="0D8437F6" w:rsidR="00F77AF5" w:rsidRPr="00FE7E2F" w:rsidRDefault="00F77AF5" w:rsidP="00FE7E2F">
      <w:r>
        <w:t>Figure 1a illustrates the case where a single gNB serves the BH (first hop) and access (for control) links. Figure 1b shows the case where the CP and BH UP (first hop) connections are via different nodes.</w:t>
      </w:r>
    </w:p>
    <w:p w14:paraId="1AC77912" w14:textId="11ED4955" w:rsidR="00FE7E2F" w:rsidRDefault="00F77AF5" w:rsidP="00FE7E2F">
      <w:pPr>
        <w:jc w:val="center"/>
      </w:pPr>
      <w:r w:rsidRPr="00F77AF5">
        <w:rPr>
          <w:noProof/>
        </w:rPr>
        <w:drawing>
          <wp:inline distT="0" distB="0" distL="0" distR="0" wp14:anchorId="1D33B267" wp14:editId="0C69C84B">
            <wp:extent cx="4325510" cy="970236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1623" cy="97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303AA" w14:textId="0934AF8A" w:rsidR="00F77AF5" w:rsidRPr="00FE7E2F" w:rsidRDefault="00F77AF5" w:rsidP="00F77AF5">
      <w:pPr>
        <w:pStyle w:val="TF"/>
      </w:pPr>
      <w:r>
        <w:t>a)</w:t>
      </w:r>
    </w:p>
    <w:p w14:paraId="108F97E0" w14:textId="3E0CF3AF" w:rsidR="0019128F" w:rsidRDefault="0019128F" w:rsidP="00F77AF5">
      <w:pPr>
        <w:pStyle w:val="TF"/>
        <w:jc w:val="left"/>
      </w:pPr>
    </w:p>
    <w:p w14:paraId="38AFA747" w14:textId="4D7BF51B" w:rsidR="00F77AF5" w:rsidRDefault="00F77AF5" w:rsidP="0019128F">
      <w:pPr>
        <w:pStyle w:val="TF"/>
      </w:pPr>
      <w:r w:rsidRPr="00F77AF5">
        <w:rPr>
          <w:noProof/>
        </w:rPr>
        <w:lastRenderedPageBreak/>
        <w:drawing>
          <wp:inline distT="0" distB="0" distL="0" distR="0" wp14:anchorId="013937EC" wp14:editId="7F47F9F6">
            <wp:extent cx="4317558" cy="1096180"/>
            <wp:effectExtent l="0" t="0" r="6985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393" cy="1101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6EA79" w14:textId="0F04B8EB" w:rsidR="00F77AF5" w:rsidRDefault="00F77AF5" w:rsidP="0019128F">
      <w:pPr>
        <w:pStyle w:val="TF"/>
      </w:pPr>
      <w:r>
        <w:t>b)</w:t>
      </w:r>
    </w:p>
    <w:p w14:paraId="66757A5A" w14:textId="7BC134A1" w:rsidR="00F77AF5" w:rsidRDefault="00F77AF5" w:rsidP="00F77AF5">
      <w:pPr>
        <w:pStyle w:val="TF"/>
      </w:pPr>
      <w:r w:rsidRPr="006E13D1">
        <w:t xml:space="preserve">Figure </w:t>
      </w:r>
      <w:r>
        <w:t>1</w:t>
      </w:r>
      <w:r w:rsidRPr="006E13D1">
        <w:t xml:space="preserve">: </w:t>
      </w:r>
      <w:r>
        <w:t>NR DC with CP/UP separation</w:t>
      </w:r>
    </w:p>
    <w:p w14:paraId="01EFA161" w14:textId="5C8AEDB9" w:rsidR="007A4758" w:rsidRDefault="000E0BF0" w:rsidP="007A552F">
      <w:r>
        <w:t>There are variants of the IAB network structure especially how the fixed node(s), here indicated as SN and MN, is/are deployed/configure</w:t>
      </w:r>
      <w:r w:rsidR="00D47548">
        <w:t>d</w:t>
      </w:r>
      <w:r>
        <w:t xml:space="preserve">. Following </w:t>
      </w:r>
      <w:r w:rsidR="00EC2A73">
        <w:t xml:space="preserve">scenarios </w:t>
      </w:r>
      <w:r>
        <w:t>exist:</w:t>
      </w:r>
    </w:p>
    <w:p w14:paraId="1E53C45E" w14:textId="7582D636" w:rsidR="000E0BF0" w:rsidRDefault="000E0BF0" w:rsidP="00FC6791">
      <w:pPr>
        <w:pStyle w:val="ListParagraph"/>
        <w:numPr>
          <w:ilvl w:val="0"/>
          <w:numId w:val="9"/>
        </w:numPr>
      </w:pPr>
      <w:r>
        <w:t>SN and MN are within the same gNB:</w:t>
      </w:r>
    </w:p>
    <w:p w14:paraId="38656202" w14:textId="58CEAA52" w:rsidR="00B40E25" w:rsidRDefault="00B40E25" w:rsidP="00B40E25">
      <w:pPr>
        <w:pStyle w:val="ListParagraph"/>
        <w:numPr>
          <w:ilvl w:val="1"/>
          <w:numId w:val="9"/>
        </w:numPr>
      </w:pPr>
      <w:r>
        <w:t>In the case where FR1 and FR2 are served by the same DU, the first hop to the IAB#1 is CA connection, instead of DC</w:t>
      </w:r>
    </w:p>
    <w:p w14:paraId="53CEA776" w14:textId="55416BAE" w:rsidR="00FD650F" w:rsidRDefault="00FD650F" w:rsidP="00FC6791">
      <w:pPr>
        <w:pStyle w:val="ListParagraph"/>
        <w:numPr>
          <w:ilvl w:val="1"/>
          <w:numId w:val="9"/>
        </w:numPr>
      </w:pPr>
      <w:r>
        <w:t>MN acts as a</w:t>
      </w:r>
      <w:r w:rsidR="00CA1F73">
        <w:t>n</w:t>
      </w:r>
      <w:r>
        <w:t xml:space="preserve"> IAB-donor</w:t>
      </w:r>
    </w:p>
    <w:p w14:paraId="795DFB98" w14:textId="3CFBF7B9" w:rsidR="00FC6791" w:rsidRDefault="00D47548" w:rsidP="00FC6791">
      <w:pPr>
        <w:pStyle w:val="ListParagraph"/>
        <w:numPr>
          <w:ilvl w:val="1"/>
          <w:numId w:val="9"/>
        </w:numPr>
      </w:pPr>
      <w:r>
        <w:t>N</w:t>
      </w:r>
      <w:r w:rsidR="008C688F">
        <w:t>o CU in the “SN”</w:t>
      </w:r>
      <w:r>
        <w:t>,</w:t>
      </w:r>
      <w:r w:rsidR="008C688F">
        <w:t xml:space="preserve"> DU is one of the DUs </w:t>
      </w:r>
      <w:r>
        <w:t xml:space="preserve">in the </w:t>
      </w:r>
      <w:r w:rsidR="008C688F">
        <w:t>gNB</w:t>
      </w:r>
    </w:p>
    <w:p w14:paraId="501A9438" w14:textId="77777777" w:rsidR="00D47548" w:rsidRDefault="00D47548" w:rsidP="00FC6791">
      <w:pPr>
        <w:pStyle w:val="ListParagraph"/>
        <w:numPr>
          <w:ilvl w:val="1"/>
          <w:numId w:val="9"/>
        </w:numPr>
      </w:pPr>
      <w:r>
        <w:t xml:space="preserve">No </w:t>
      </w:r>
      <w:r w:rsidR="008C688F">
        <w:t>Xn</w:t>
      </w:r>
      <w:r>
        <w:t xml:space="preserve"> between SN and MN</w:t>
      </w:r>
      <w:r w:rsidR="008C688F">
        <w:t>.</w:t>
      </w:r>
    </w:p>
    <w:p w14:paraId="73398E93" w14:textId="61ECAFA1" w:rsidR="00FC6791" w:rsidRDefault="009516FB" w:rsidP="00FC6791">
      <w:pPr>
        <w:pStyle w:val="ListParagraph"/>
        <w:numPr>
          <w:ilvl w:val="1"/>
          <w:numId w:val="9"/>
        </w:numPr>
      </w:pPr>
      <w:r>
        <w:t>NG interfaces are terminated at the same gNB (MN)</w:t>
      </w:r>
    </w:p>
    <w:p w14:paraId="3760C782" w14:textId="0F28FA7F" w:rsidR="000E0BF0" w:rsidRDefault="008C688F" w:rsidP="00FC6791">
      <w:pPr>
        <w:pStyle w:val="ListParagraph"/>
        <w:numPr>
          <w:ilvl w:val="1"/>
          <w:numId w:val="9"/>
        </w:numPr>
      </w:pPr>
      <w:r>
        <w:t>The next hop BH link to IAB#2 is a DC connection as the M</w:t>
      </w:r>
      <w:r w:rsidR="009516FB">
        <w:t>CG</w:t>
      </w:r>
      <w:r>
        <w:t xml:space="preserve"> and S</w:t>
      </w:r>
      <w:r w:rsidR="009516FB">
        <w:t>CG</w:t>
      </w:r>
      <w:r>
        <w:t xml:space="preserve"> are </w:t>
      </w:r>
      <w:r w:rsidR="009516FB">
        <w:t xml:space="preserve">to </w:t>
      </w:r>
      <w:r>
        <w:t xml:space="preserve">different </w:t>
      </w:r>
      <w:r w:rsidR="009516FB">
        <w:t>nodes</w:t>
      </w:r>
    </w:p>
    <w:p w14:paraId="321E9D59" w14:textId="77777777" w:rsidR="00FC6791" w:rsidRDefault="00FC6791" w:rsidP="00F40826">
      <w:pPr>
        <w:pStyle w:val="ListParagraph"/>
        <w:ind w:left="1440"/>
      </w:pPr>
    </w:p>
    <w:p w14:paraId="2B5A1233" w14:textId="55BEFACF" w:rsidR="008C688F" w:rsidRDefault="00FC6791" w:rsidP="00FC6791">
      <w:pPr>
        <w:pStyle w:val="ListParagraph"/>
        <w:numPr>
          <w:ilvl w:val="0"/>
          <w:numId w:val="9"/>
        </w:numPr>
      </w:pPr>
      <w:r>
        <w:t xml:space="preserve">SN and MN </w:t>
      </w:r>
      <w:r w:rsidR="00A40024">
        <w:t>belong to different gNBs</w:t>
      </w:r>
      <w:r>
        <w:t>:</w:t>
      </w:r>
    </w:p>
    <w:p w14:paraId="57D9972F" w14:textId="44EFDECC" w:rsidR="00FC6791" w:rsidRDefault="00FC6791" w:rsidP="00FC6791">
      <w:pPr>
        <w:pStyle w:val="ListParagraph"/>
        <w:numPr>
          <w:ilvl w:val="1"/>
          <w:numId w:val="9"/>
        </w:numPr>
      </w:pPr>
      <w:r>
        <w:t xml:space="preserve">The first hop IAB node </w:t>
      </w:r>
      <w:r w:rsidR="00CA1F73">
        <w:t xml:space="preserve">has </w:t>
      </w:r>
      <w:r>
        <w:t>DC connection to the MN and the SN. SN is a full gNB with CU</w:t>
      </w:r>
    </w:p>
    <w:p w14:paraId="6D44832E" w14:textId="09E5F054" w:rsidR="00FC6791" w:rsidRDefault="00CA1F73" w:rsidP="00FC6791">
      <w:pPr>
        <w:pStyle w:val="ListParagraph"/>
        <w:numPr>
          <w:ilvl w:val="1"/>
          <w:numId w:val="9"/>
        </w:numPr>
      </w:pPr>
      <w:r>
        <w:t>IAB-node support for i</w:t>
      </w:r>
      <w:r w:rsidR="00FC6791">
        <w:t>nter-</w:t>
      </w:r>
      <w:r>
        <w:t>donor</w:t>
      </w:r>
      <w:r w:rsidR="00FC6791">
        <w:t xml:space="preserve"> DC </w:t>
      </w:r>
      <w:r w:rsidR="00182BD7">
        <w:t>is needed</w:t>
      </w:r>
    </w:p>
    <w:p w14:paraId="61AC8EDD" w14:textId="1D01581A" w:rsidR="00FC6791" w:rsidRDefault="00FC6791" w:rsidP="00FC6791">
      <w:pPr>
        <w:pStyle w:val="ListParagraph"/>
        <w:numPr>
          <w:ilvl w:val="1"/>
          <w:numId w:val="9"/>
        </w:numPr>
      </w:pPr>
      <w:r>
        <w:t>Either MN o</w:t>
      </w:r>
      <w:r w:rsidR="00182BD7">
        <w:t>r</w:t>
      </w:r>
      <w:r>
        <w:t xml:space="preserve"> both MN and SN has N3 to NGC. If only MN, UP data would be forwarded over Xn-U.</w:t>
      </w:r>
    </w:p>
    <w:p w14:paraId="1E086C5F" w14:textId="7B89CBAB" w:rsidR="00182BD7" w:rsidRDefault="00182BD7" w:rsidP="00FC6791">
      <w:pPr>
        <w:pStyle w:val="ListParagraph"/>
        <w:numPr>
          <w:ilvl w:val="1"/>
          <w:numId w:val="9"/>
        </w:numPr>
      </w:pPr>
      <w:r>
        <w:t>N2 connection is terminated at the MN</w:t>
      </w:r>
    </w:p>
    <w:p w14:paraId="70575581" w14:textId="2384D17D" w:rsidR="00182BD7" w:rsidRDefault="00182BD7" w:rsidP="00FC6791">
      <w:pPr>
        <w:pStyle w:val="ListParagraph"/>
        <w:numPr>
          <w:ilvl w:val="1"/>
          <w:numId w:val="9"/>
        </w:numPr>
      </w:pPr>
      <w:r>
        <w:t xml:space="preserve">There are variants depending on </w:t>
      </w:r>
      <w:r w:rsidR="00424924">
        <w:t xml:space="preserve">which </w:t>
      </w:r>
      <w:r>
        <w:t xml:space="preserve">node </w:t>
      </w:r>
      <w:r w:rsidR="00424924">
        <w:t xml:space="preserve">is </w:t>
      </w:r>
      <w:r>
        <w:t xml:space="preserve">acting as </w:t>
      </w:r>
      <w:r w:rsidR="00F40826">
        <w:t>the</w:t>
      </w:r>
      <w:r>
        <w:t xml:space="preserve"> IAB-donor:</w:t>
      </w:r>
    </w:p>
    <w:p w14:paraId="782F1E4A" w14:textId="2F9D6997" w:rsidR="00182BD7" w:rsidRDefault="00182BD7" w:rsidP="00F40826">
      <w:pPr>
        <w:pStyle w:val="ListParagraph"/>
        <w:numPr>
          <w:ilvl w:val="1"/>
          <w:numId w:val="10"/>
        </w:numPr>
      </w:pPr>
      <w:r>
        <w:t xml:space="preserve">MN acts as </w:t>
      </w:r>
      <w:r w:rsidR="00CA1F73">
        <w:t xml:space="preserve">an </w:t>
      </w:r>
      <w:r>
        <w:t>IAB-donor:</w:t>
      </w:r>
    </w:p>
    <w:p w14:paraId="0C59B479" w14:textId="778E1218" w:rsidR="00F40826" w:rsidRDefault="00F40826" w:rsidP="00F40826">
      <w:pPr>
        <w:pStyle w:val="ListParagraph"/>
        <w:numPr>
          <w:ilvl w:val="2"/>
          <w:numId w:val="12"/>
        </w:numPr>
      </w:pPr>
      <w:r>
        <w:t>F1-C to IAB nodes goes over MCG (FR1)</w:t>
      </w:r>
    </w:p>
    <w:p w14:paraId="20591463" w14:textId="0C00E40D" w:rsidR="00F40826" w:rsidRDefault="00F40826" w:rsidP="00F40826">
      <w:pPr>
        <w:pStyle w:val="ListParagraph"/>
        <w:numPr>
          <w:ilvl w:val="2"/>
          <w:numId w:val="12"/>
        </w:numPr>
      </w:pPr>
      <w:r>
        <w:t>MN configures the BH links over SCG (FR2)</w:t>
      </w:r>
    </w:p>
    <w:p w14:paraId="19397BA1" w14:textId="5ABB627E" w:rsidR="00F40826" w:rsidRDefault="00F40826" w:rsidP="00F40826">
      <w:pPr>
        <w:pStyle w:val="ListParagraph"/>
        <w:numPr>
          <w:ilvl w:val="2"/>
          <w:numId w:val="12"/>
        </w:numPr>
      </w:pPr>
      <w:r>
        <w:t>F1-U should go first to SN DU and then over BH links in SCG path</w:t>
      </w:r>
    </w:p>
    <w:p w14:paraId="092E0252" w14:textId="4CD1C4CD" w:rsidR="00182BD7" w:rsidRDefault="00182BD7" w:rsidP="00F40826">
      <w:pPr>
        <w:pStyle w:val="ListParagraph"/>
        <w:numPr>
          <w:ilvl w:val="1"/>
          <w:numId w:val="10"/>
        </w:numPr>
      </w:pPr>
      <w:r>
        <w:t>SN acts as the IAB-donor:</w:t>
      </w:r>
    </w:p>
    <w:p w14:paraId="13A63D41" w14:textId="613AC5D2" w:rsidR="00F40826" w:rsidRDefault="00F40826" w:rsidP="00F40826">
      <w:pPr>
        <w:pStyle w:val="ListParagraph"/>
        <w:numPr>
          <w:ilvl w:val="2"/>
          <w:numId w:val="13"/>
        </w:numPr>
      </w:pPr>
      <w:r>
        <w:t>F1-U is terminated at SN CU</w:t>
      </w:r>
    </w:p>
    <w:p w14:paraId="33314399" w14:textId="6E8C3910" w:rsidR="00552FF9" w:rsidRDefault="00552FF9" w:rsidP="00F40826">
      <w:pPr>
        <w:pStyle w:val="ListParagraph"/>
        <w:numPr>
          <w:ilvl w:val="2"/>
          <w:numId w:val="13"/>
        </w:numPr>
      </w:pPr>
      <w:r>
        <w:t>F1-C is terminated at SN CU</w:t>
      </w:r>
    </w:p>
    <w:p w14:paraId="31BF0739" w14:textId="26E466F0" w:rsidR="00F40826" w:rsidRDefault="00552FF9" w:rsidP="00F40826">
      <w:pPr>
        <w:pStyle w:val="ListParagraph"/>
        <w:numPr>
          <w:ilvl w:val="2"/>
          <w:numId w:val="13"/>
        </w:numPr>
      </w:pPr>
      <w:proofErr w:type="gramStart"/>
      <w:r>
        <w:t>Similar to</w:t>
      </w:r>
      <w:proofErr w:type="gramEnd"/>
      <w:r>
        <w:t xml:space="preserve"> NSA, F1-C could be routed via MN and RRC connection over MCG</w:t>
      </w:r>
    </w:p>
    <w:p w14:paraId="25AE0677" w14:textId="479FE4C3" w:rsidR="000E0BF0" w:rsidRDefault="00F40826" w:rsidP="007A552F">
      <w:r>
        <w:t xml:space="preserve">In all cases MN </w:t>
      </w:r>
      <w:r w:rsidR="00552FF9">
        <w:t>runs the RRC and SCG may have SRB3 established.</w:t>
      </w:r>
    </w:p>
    <w:p w14:paraId="45A23DE1" w14:textId="15492EFF" w:rsidR="00C10498" w:rsidRPr="00552FF9" w:rsidRDefault="00552FF9" w:rsidP="006C1D56">
      <w:pPr>
        <w:pStyle w:val="TF"/>
        <w:jc w:val="left"/>
        <w:rPr>
          <w:rFonts w:ascii="Times New Roman" w:hAnsi="Times New Roman"/>
          <w:bCs/>
        </w:rPr>
      </w:pPr>
      <w:r w:rsidRPr="00552FF9">
        <w:rPr>
          <w:rFonts w:ascii="Times New Roman" w:hAnsi="Times New Roman"/>
          <w:bCs/>
        </w:rPr>
        <w:t>Proposal: RAN2 is asked to elaborate the options for NR DC with CP/UP split and assess their feasibility and benefits. If deemed useful, required specification changes should be analysed as potential candidate(s) for Rel.17 IAB enhancements.</w:t>
      </w:r>
    </w:p>
    <w:p w14:paraId="5FF2457F" w14:textId="0E0A3BBC" w:rsidR="00A209D6" w:rsidRPr="006E13D1" w:rsidRDefault="00FE7E2F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0449C3F" w14:textId="172554AD" w:rsidR="00A209D6" w:rsidRDefault="00E61B85" w:rsidP="00A209D6">
      <w:r>
        <w:t>Referring to description about SA deployment scenarios with CP/UP separation, we are proposing following:</w:t>
      </w:r>
    </w:p>
    <w:p w14:paraId="12746004" w14:textId="77777777" w:rsidR="00E61B85" w:rsidRPr="00552FF9" w:rsidRDefault="00E61B85" w:rsidP="00E61B85">
      <w:pPr>
        <w:pStyle w:val="TF"/>
        <w:jc w:val="left"/>
        <w:rPr>
          <w:rFonts w:ascii="Times New Roman" w:hAnsi="Times New Roman"/>
          <w:bCs/>
        </w:rPr>
      </w:pPr>
      <w:r w:rsidRPr="00552FF9">
        <w:rPr>
          <w:rFonts w:ascii="Times New Roman" w:hAnsi="Times New Roman"/>
          <w:bCs/>
        </w:rPr>
        <w:t>Proposal: RAN2 is asked to elaborate the options for NR DC with CP/UP split and assess their feasibility and benefits. If deemed useful, required specification changes should be analysed as potential candidate(s) for Rel.17 IAB enhancements.</w:t>
      </w:r>
    </w:p>
    <w:p w14:paraId="7DF0BFA0" w14:textId="7EADF19A" w:rsidR="007B16C9" w:rsidRPr="006E13D1" w:rsidRDefault="007B16C9" w:rsidP="007B16C9">
      <w:pPr>
        <w:pStyle w:val="Heading1"/>
      </w:pPr>
      <w:r>
        <w:t>References</w:t>
      </w:r>
    </w:p>
    <w:p w14:paraId="59005CB0" w14:textId="145DE3AE" w:rsidR="007B16C9" w:rsidRDefault="007B16C9" w:rsidP="00A209D6">
      <w:r>
        <w:t xml:space="preserve">[1] </w:t>
      </w:r>
      <w:hyperlink r:id="rId15" w:history="1">
        <w:r w:rsidRPr="007B16C9">
          <w:rPr>
            <w:rStyle w:val="Hyperlink"/>
          </w:rPr>
          <w:t>RP-193251</w:t>
        </w:r>
      </w:hyperlink>
      <w:r>
        <w:t xml:space="preserve">, </w:t>
      </w:r>
      <w:r w:rsidRPr="007B16C9">
        <w:rPr>
          <w:i/>
          <w:iCs/>
        </w:rPr>
        <w:t>New WID on Enhancements to Integrated Access and Backhaul</w:t>
      </w:r>
      <w:r>
        <w:t xml:space="preserve"> </w:t>
      </w:r>
    </w:p>
    <w:p w14:paraId="70F45955" w14:textId="1705455A" w:rsidR="007B16C9" w:rsidRDefault="007A4758" w:rsidP="00A209D6">
      <w:r>
        <w:t xml:space="preserve">[2] </w:t>
      </w:r>
      <w:hyperlink r:id="rId16" w:history="1">
        <w:r w:rsidRPr="007A4758">
          <w:rPr>
            <w:rStyle w:val="Hyperlink"/>
          </w:rPr>
          <w:t>TR 38.874</w:t>
        </w:r>
      </w:hyperlink>
      <w:r>
        <w:t xml:space="preserve">, </w:t>
      </w:r>
      <w:r w:rsidRPr="007A4758">
        <w:rPr>
          <w:i/>
          <w:iCs/>
        </w:rPr>
        <w:t>Study on Integrated Access and Backhaul</w:t>
      </w:r>
    </w:p>
    <w:p w14:paraId="2EC94F7A" w14:textId="77777777" w:rsidR="007A4758" w:rsidRPr="007B16C9" w:rsidRDefault="007A4758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C53BB" w14:textId="77777777" w:rsidR="0011419E" w:rsidRDefault="0011419E">
      <w:r>
        <w:separator/>
      </w:r>
    </w:p>
  </w:endnote>
  <w:endnote w:type="continuationSeparator" w:id="0">
    <w:p w14:paraId="5B4579D3" w14:textId="77777777" w:rsidR="0011419E" w:rsidRDefault="0011419E">
      <w:r>
        <w:continuationSeparator/>
      </w:r>
    </w:p>
  </w:endnote>
  <w:endnote w:type="continuationNotice" w:id="1">
    <w:p w14:paraId="5398972A" w14:textId="77777777" w:rsidR="0011419E" w:rsidRDefault="001141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3626A9" w:rsidRDefault="003626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3626A9" w:rsidRDefault="003626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3626A9" w:rsidRDefault="00362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0BE2F" w14:textId="77777777" w:rsidR="0011419E" w:rsidRDefault="0011419E">
      <w:r>
        <w:separator/>
      </w:r>
    </w:p>
  </w:footnote>
  <w:footnote w:type="continuationSeparator" w:id="0">
    <w:p w14:paraId="507E7AEC" w14:textId="77777777" w:rsidR="0011419E" w:rsidRDefault="0011419E">
      <w:r>
        <w:continuationSeparator/>
      </w:r>
    </w:p>
  </w:footnote>
  <w:footnote w:type="continuationNotice" w:id="1">
    <w:p w14:paraId="3FDCBF4C" w14:textId="77777777" w:rsidR="0011419E" w:rsidRDefault="001141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3626A9" w:rsidRDefault="003626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3626A9" w:rsidRDefault="003626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3626A9" w:rsidRDefault="003626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313DD3"/>
    <w:multiLevelType w:val="hybridMultilevel"/>
    <w:tmpl w:val="7F68445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EE926EB"/>
    <w:multiLevelType w:val="hybridMultilevel"/>
    <w:tmpl w:val="62B8BA5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2EFF7A">
      <w:start w:val="2"/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BB35752"/>
    <w:multiLevelType w:val="hybridMultilevel"/>
    <w:tmpl w:val="4A1C728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2EFF7A">
      <w:start w:val="2"/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B03C6"/>
    <w:multiLevelType w:val="hybridMultilevel"/>
    <w:tmpl w:val="017C3BB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0"/>
  </w:num>
  <w:num w:numId="11">
    <w:abstractNumId w:val="3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686"/>
    <w:rsid w:val="00016557"/>
    <w:rsid w:val="00023C40"/>
    <w:rsid w:val="00033397"/>
    <w:rsid w:val="00040095"/>
    <w:rsid w:val="00055F19"/>
    <w:rsid w:val="00073C9C"/>
    <w:rsid w:val="00080512"/>
    <w:rsid w:val="00090468"/>
    <w:rsid w:val="00094568"/>
    <w:rsid w:val="000B7BCF"/>
    <w:rsid w:val="000C07B7"/>
    <w:rsid w:val="000C522B"/>
    <w:rsid w:val="000D58AB"/>
    <w:rsid w:val="000E0BF0"/>
    <w:rsid w:val="00106D18"/>
    <w:rsid w:val="00112F1A"/>
    <w:rsid w:val="0011419E"/>
    <w:rsid w:val="00145075"/>
    <w:rsid w:val="001521B1"/>
    <w:rsid w:val="001741A0"/>
    <w:rsid w:val="00175FA0"/>
    <w:rsid w:val="00180054"/>
    <w:rsid w:val="00182BD7"/>
    <w:rsid w:val="0018496D"/>
    <w:rsid w:val="0019128F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36555"/>
    <w:rsid w:val="00250404"/>
    <w:rsid w:val="002610D8"/>
    <w:rsid w:val="002747EC"/>
    <w:rsid w:val="00277C6A"/>
    <w:rsid w:val="002855BF"/>
    <w:rsid w:val="002A7F5F"/>
    <w:rsid w:val="002F0D22"/>
    <w:rsid w:val="00311B17"/>
    <w:rsid w:val="003172DC"/>
    <w:rsid w:val="00325AE3"/>
    <w:rsid w:val="00326069"/>
    <w:rsid w:val="003268B5"/>
    <w:rsid w:val="0035462D"/>
    <w:rsid w:val="003626A9"/>
    <w:rsid w:val="0036459E"/>
    <w:rsid w:val="00364B41"/>
    <w:rsid w:val="0037330B"/>
    <w:rsid w:val="00383096"/>
    <w:rsid w:val="0039346C"/>
    <w:rsid w:val="003A41EF"/>
    <w:rsid w:val="003B40AD"/>
    <w:rsid w:val="003C4E37"/>
    <w:rsid w:val="003D70D6"/>
    <w:rsid w:val="003E16BE"/>
    <w:rsid w:val="003F4E28"/>
    <w:rsid w:val="004006E8"/>
    <w:rsid w:val="00401855"/>
    <w:rsid w:val="00424924"/>
    <w:rsid w:val="00442F6E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0718F"/>
    <w:rsid w:val="00534DA0"/>
    <w:rsid w:val="00543E6C"/>
    <w:rsid w:val="00552FF9"/>
    <w:rsid w:val="00565087"/>
    <w:rsid w:val="0056573F"/>
    <w:rsid w:val="005A13BF"/>
    <w:rsid w:val="005A49C6"/>
    <w:rsid w:val="005E27D2"/>
    <w:rsid w:val="00611566"/>
    <w:rsid w:val="00646D99"/>
    <w:rsid w:val="00656910"/>
    <w:rsid w:val="006574C0"/>
    <w:rsid w:val="00671C31"/>
    <w:rsid w:val="00675E01"/>
    <w:rsid w:val="00690705"/>
    <w:rsid w:val="006C1D56"/>
    <w:rsid w:val="006C66D8"/>
    <w:rsid w:val="006D1E24"/>
    <w:rsid w:val="006E1417"/>
    <w:rsid w:val="006E159A"/>
    <w:rsid w:val="006E26D2"/>
    <w:rsid w:val="006F1A90"/>
    <w:rsid w:val="006F6A2C"/>
    <w:rsid w:val="007069DC"/>
    <w:rsid w:val="00710201"/>
    <w:rsid w:val="0072073A"/>
    <w:rsid w:val="00720C9F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7F54"/>
    <w:rsid w:val="007A19D9"/>
    <w:rsid w:val="007A4758"/>
    <w:rsid w:val="007A552F"/>
    <w:rsid w:val="007B16C9"/>
    <w:rsid w:val="007B18D8"/>
    <w:rsid w:val="007C095F"/>
    <w:rsid w:val="007C2C10"/>
    <w:rsid w:val="007C2DD0"/>
    <w:rsid w:val="007D0D92"/>
    <w:rsid w:val="007F2E08"/>
    <w:rsid w:val="007F3081"/>
    <w:rsid w:val="00800948"/>
    <w:rsid w:val="008028A4"/>
    <w:rsid w:val="00804F96"/>
    <w:rsid w:val="008054E1"/>
    <w:rsid w:val="00813245"/>
    <w:rsid w:val="00840DE0"/>
    <w:rsid w:val="0086354A"/>
    <w:rsid w:val="008670E9"/>
    <w:rsid w:val="00867464"/>
    <w:rsid w:val="008768CA"/>
    <w:rsid w:val="00877EF9"/>
    <w:rsid w:val="00880559"/>
    <w:rsid w:val="008B5306"/>
    <w:rsid w:val="008C2E2A"/>
    <w:rsid w:val="008C3057"/>
    <w:rsid w:val="008C688F"/>
    <w:rsid w:val="008D2E4D"/>
    <w:rsid w:val="008E7F5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516FB"/>
    <w:rsid w:val="00961B32"/>
    <w:rsid w:val="00962509"/>
    <w:rsid w:val="00970DB3"/>
    <w:rsid w:val="009721D6"/>
    <w:rsid w:val="00974BB0"/>
    <w:rsid w:val="00975BCD"/>
    <w:rsid w:val="009928A9"/>
    <w:rsid w:val="009A0AF3"/>
    <w:rsid w:val="009B07CD"/>
    <w:rsid w:val="009B374F"/>
    <w:rsid w:val="009C19E9"/>
    <w:rsid w:val="009D74A6"/>
    <w:rsid w:val="009E0E87"/>
    <w:rsid w:val="00A10F02"/>
    <w:rsid w:val="00A204CA"/>
    <w:rsid w:val="00A209D6"/>
    <w:rsid w:val="00A40024"/>
    <w:rsid w:val="00A53724"/>
    <w:rsid w:val="00A54B2B"/>
    <w:rsid w:val="00A61F1F"/>
    <w:rsid w:val="00A821EF"/>
    <w:rsid w:val="00A82346"/>
    <w:rsid w:val="00A9671C"/>
    <w:rsid w:val="00AA1553"/>
    <w:rsid w:val="00AA289D"/>
    <w:rsid w:val="00AC03A6"/>
    <w:rsid w:val="00AF56FA"/>
    <w:rsid w:val="00B05380"/>
    <w:rsid w:val="00B05962"/>
    <w:rsid w:val="00B15449"/>
    <w:rsid w:val="00B16C2F"/>
    <w:rsid w:val="00B27303"/>
    <w:rsid w:val="00B40E25"/>
    <w:rsid w:val="00B47FD1"/>
    <w:rsid w:val="00B516BB"/>
    <w:rsid w:val="00B84DB2"/>
    <w:rsid w:val="00BC3555"/>
    <w:rsid w:val="00BF68E9"/>
    <w:rsid w:val="00C10498"/>
    <w:rsid w:val="00C12B51"/>
    <w:rsid w:val="00C24650"/>
    <w:rsid w:val="00C25465"/>
    <w:rsid w:val="00C33079"/>
    <w:rsid w:val="00C47566"/>
    <w:rsid w:val="00C83A13"/>
    <w:rsid w:val="00C9068C"/>
    <w:rsid w:val="00C92967"/>
    <w:rsid w:val="00CA1F73"/>
    <w:rsid w:val="00CA3D0C"/>
    <w:rsid w:val="00CA654B"/>
    <w:rsid w:val="00CB72B8"/>
    <w:rsid w:val="00CD09AC"/>
    <w:rsid w:val="00CD4C7B"/>
    <w:rsid w:val="00CD58FE"/>
    <w:rsid w:val="00D33BE3"/>
    <w:rsid w:val="00D3792D"/>
    <w:rsid w:val="00D47548"/>
    <w:rsid w:val="00D55E47"/>
    <w:rsid w:val="00D575DD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28E3"/>
    <w:rsid w:val="00DC309B"/>
    <w:rsid w:val="00DC4DA2"/>
    <w:rsid w:val="00DC5261"/>
    <w:rsid w:val="00DC61F7"/>
    <w:rsid w:val="00DE25D2"/>
    <w:rsid w:val="00E15C86"/>
    <w:rsid w:val="00E46C08"/>
    <w:rsid w:val="00E471CF"/>
    <w:rsid w:val="00E61B85"/>
    <w:rsid w:val="00E62835"/>
    <w:rsid w:val="00E77645"/>
    <w:rsid w:val="00E83697"/>
    <w:rsid w:val="00EA66C9"/>
    <w:rsid w:val="00EB7DED"/>
    <w:rsid w:val="00EC2A73"/>
    <w:rsid w:val="00EC4A25"/>
    <w:rsid w:val="00EE0992"/>
    <w:rsid w:val="00F025A2"/>
    <w:rsid w:val="00F036E9"/>
    <w:rsid w:val="00F07388"/>
    <w:rsid w:val="00F2026E"/>
    <w:rsid w:val="00F2210A"/>
    <w:rsid w:val="00F37743"/>
    <w:rsid w:val="00F40826"/>
    <w:rsid w:val="00F54A3D"/>
    <w:rsid w:val="00F54CB0"/>
    <w:rsid w:val="00F579CD"/>
    <w:rsid w:val="00F653B8"/>
    <w:rsid w:val="00F71B89"/>
    <w:rsid w:val="00F7353C"/>
    <w:rsid w:val="00F76F8F"/>
    <w:rsid w:val="00F77AF5"/>
    <w:rsid w:val="00F9156B"/>
    <w:rsid w:val="00F941DF"/>
    <w:rsid w:val="00FA1266"/>
    <w:rsid w:val="00FB36FA"/>
    <w:rsid w:val="00FB3F00"/>
    <w:rsid w:val="00FB7D72"/>
    <w:rsid w:val="00FC1192"/>
    <w:rsid w:val="00FC6791"/>
    <w:rsid w:val="00FD650F"/>
    <w:rsid w:val="00FE251B"/>
    <w:rsid w:val="00FE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744DE5"/>
  <w15:chartTrackingRefBased/>
  <w15:docId w15:val="{D3659682-6CD7-458E-AFBB-41BE26508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7A4758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C6791"/>
    <w:pPr>
      <w:ind w:left="720"/>
      <w:contextualSpacing/>
    </w:pPr>
  </w:style>
  <w:style w:type="character" w:styleId="CommentReference">
    <w:name w:val="annotation reference"/>
    <w:basedOn w:val="DefaultParagraphFont"/>
    <w:rsid w:val="00AA28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289D"/>
  </w:style>
  <w:style w:type="character" w:customStyle="1" w:styleId="CommentTextChar">
    <w:name w:val="Comment Text Char"/>
    <w:basedOn w:val="DefaultParagraphFont"/>
    <w:link w:val="CommentText"/>
    <w:rsid w:val="00AA289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28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A289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3232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86/Docs/RP-193251.zip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5AIRPNAIUNRU-859666464-7109</_dlc_DocId>
    <_dlc_DocIdUrl xmlns="71c5aaf6-e6ce-465b-b873-5148d2a4c105">
      <Url>https://nokia.sharepoint.com/sites/c5g/e2earch/_layouts/15/DocIdRedir.aspx?ID=5AIRPNAIUNRU-859666464-7109</Url>
      <Description>5AIRPNAIUNRU-859666464-7109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051785-BE77-4659-B9F0-59CD6580A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61ED00-F111-48F9-B404-0A7339C3718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9D2A6EE-B52C-420D-8399-239C03E60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719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4306</CharactersWithSpaces>
  <SharedDoc>false</SharedDoc>
  <HyperlinkBase/>
  <HLinks>
    <vt:vector size="12" baseType="variant"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https://portal.3gpp.org/desktopmodules/Specifications/SpecificationDetails.aspx?specificationId=3232</vt:lpwstr>
      </vt:variant>
      <vt:variant>
        <vt:lpwstr/>
      </vt:variant>
      <vt:variant>
        <vt:i4>1245246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https://www.3gpp.org/ftp/tsg_ran/TSG_RAN/TSGR_86/Docs/RP-193251.zip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(Samuli)</cp:lastModifiedBy>
  <cp:revision>3</cp:revision>
  <dcterms:created xsi:type="dcterms:W3CDTF">2020-08-07T05:30:00Z</dcterms:created>
  <dcterms:modified xsi:type="dcterms:W3CDTF">2020-08-07T05:32:00Z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e796a3c9-ddcd-4522-97ef-d80f01520833</vt:lpwstr>
  </property>
</Properties>
</file>